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219D2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 xml:space="preserve">黔东南州锦屏县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生态鱼“跃”动富民春水</w:t>
      </w:r>
    </w:p>
    <w:p w14:paraId="30195A8B">
      <w:pPr>
        <w:bidi w:val="0"/>
        <w:rPr>
          <w:rFonts w:hint="eastAsia"/>
          <w:lang w:val="en-US" w:eastAsia="zh-CN"/>
        </w:rPr>
      </w:pPr>
    </w:p>
    <w:p w14:paraId="2E7AC479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板溪水库是国家“西电东送”重点项目，位于贵州省黔东南州锦屏、剑河、黎平三县交界的清水江中下游。其中，锦屏县段水域面积达6万亩，水生生物资源丰富。然而，自建库后网箱养殖无序扩张，导致水质严重恶化，影响防洪、发电、航运功能，破坏生态平衡。为落实国家生态文明建设战略，锦屏县全面拆除库区网箱养殖设施，启动实施三板溪大水面生态渔业增养殖项目，推行“零网箱·生态鱼”模式，旨在恢复水库生态环境，实现渔业可持续发展与生态保护双重目标。</w:t>
      </w:r>
    </w:p>
    <w:p w14:paraId="27B0251E">
      <w:pPr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400040" cy="3614420"/>
            <wp:effectExtent l="0" t="0" r="10160" b="5080"/>
            <wp:docPr id="2" name="图片 2" descr="4、纪实类 《清水江三板溪水库网箱养鱼拆除后 》时间2018.10.3 地点 剑河县南加镇 陈沛亮摄 地址：凯里市北京西路42号凯里公路管理局  联系电话：13985292970 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、纪实类 《清水江三板溪水库网箱养鱼拆除后 》时间2018.10.3 地点 剑河县南加镇 陈沛亮摄 地址：凯里市北京西路42号凯里公路管理局  联系电话：13985292970 )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1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CBFB0">
      <w:pPr>
        <w:bidi w:val="0"/>
        <w:spacing w:line="240" w:lineRule="auto"/>
        <w:ind w:left="0" w:leftChars="0" w:firstLine="0" w:firstLineChars="0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三板溪水库网箱养鱼拆除后水面</w:t>
      </w:r>
    </w:p>
    <w:p w14:paraId="7B0C907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  <w:t>主要做法</w:t>
      </w:r>
    </w:p>
    <w:p w14:paraId="778D4C48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是健全体制机制，构建多元共治格局。依据相关法规政策，建立“政企民”协同管理机制。成立库区打非及矛盾协调组，强化农业执法与警企联防，严厉打击非法捕捞。将爱渔护渔纳入库区乡镇议事日程，压实村寨属地责任，对发生偷捕行为的村寨及个人实施取消分红资格等惩戒措施。优先招聘库区移民组建专业护渔队，实行常态化巡查，确保全域禁捕。</w:t>
      </w:r>
    </w:p>
    <w:p w14:paraId="381825EA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是强化科技支撑，推广生态养殖模式。全面践行“零网箱·生态鱼”理念。科学设置拦网：在主航道河口乡与剑河南加交界处（735米）、固本瑶里大桥（320米）、启蒙八受乌勒大桥（420米）设置三道拦网，并配备专用升降航道及24小时值守点，确保通航安全与隔离管理。优化养殖结构：主养滤食性鲢、鳙鱼，年投放1-2斤规格鱼种160万斤（鲢鳙比1:9，密度16尾/亩）。采用轮捕轮放（捕大留小）技术，聘请专业队伍捕捞，起捕率达80%以上。</w:t>
      </w:r>
    </w:p>
    <w:p w14:paraId="728CF9DC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是创新利益联结，带动移民增收致富。建立“企业+移民”紧密利益共同体。项目利润按“移民户70%+企业30%”比例分红，直接增加移民户收入。组建生产管理队伍，吸纳移民从事巡查、捕捞、宣传等工作，实现“家门口”就业增收。项目年产量稳定在200万斤以上，年产值超2000万元，并成功创建国家级水产健康养殖和生态养殖示范区、粤港澳大湾区“菜篮子”生产基地，鲢鳙鱼获有机认证。</w:t>
      </w:r>
    </w:p>
    <w:p w14:paraId="5920E9C0">
      <w:pPr>
        <w:bidi w:val="0"/>
        <w:spacing w:line="240" w:lineRule="auto"/>
        <w:ind w:left="0" w:leftChars="0" w:firstLine="0" w:firstLine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400040" cy="3959860"/>
            <wp:effectExtent l="0" t="0" r="10160" b="2540"/>
            <wp:docPr id="3" name="图片 3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59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9002BAC">
      <w:pPr>
        <w:bidi w:val="0"/>
        <w:spacing w:line="240" w:lineRule="auto"/>
        <w:ind w:left="0" w:leftChars="0" w:firstLine="0" w:firstLineChars="0"/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水库生态鱼捕捞</w:t>
      </w:r>
    </w:p>
    <w:p w14:paraId="717639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黑体" w:hAnsi="黑体" w:eastAsia="黑体" w:cs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  <w:t>经验启示</w:t>
      </w:r>
    </w:p>
    <w:p w14:paraId="0C746756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是坚持生态优先，推动“以鱼养水”。项目核心在于利用生态规律恢复环境。通过大规模放养滤食性鲢鳙鱼，实施“人放天养、以鱼净水、以鱼抑藻”，有效消耗水体富营养化物质，显著改善水质，提升水体自净能力，保障饮用水安全，实现了生态效益与渔业生产的有机统一。</w:t>
      </w:r>
    </w:p>
    <w:p w14:paraId="1304674D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是强化全链思维，促进三产融合。在夯实生态养殖基础上，着力延伸产业链条。打造“贵水黔鱼”区域公用品牌，提升市场竞争力。同时，积极推进深加工、休闲垂钓、渔旅一体化等项目建设，探索渔业与旅游、餐饮、度假等产业融合发展，为库区经济注入新活力，助力乡村振兴。</w:t>
      </w:r>
    </w:p>
    <w:p w14:paraId="0D36EDD4"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是注重机制创新，保障长效发展。成功关键在于构建了有效的治理与利益分享机制。通过健全法规执行、联合执法、村社责任落实及专业护渔体系，保障了生态养殖秩序。创新“见效分红+就近就业”模式，确保库区移民共享发展成果，激发内生动力，实现了生态保护、产业发展与移民增收的良性循环，为类似水域生态产品价值实现提供了可复制路径。锦屏县将持续深化生态渔业改革，做大做强产业，生动践行“绿水青山就是金山银山”理念。</w:t>
      </w:r>
    </w:p>
    <w:p w14:paraId="5F8E03F5">
      <w:pPr>
        <w:rPr>
          <w:rFonts w:hint="eastAsia" w:ascii="Times New Roman" w:hAnsi="Times New Roman" w:eastAsia="仿宋" w:cs="Times New Roman"/>
          <w:color w:val="auto"/>
          <w:sz w:val="30"/>
          <w:szCs w:val="30"/>
          <w:lang w:val="en-US" w:eastAsia="zh-CN"/>
        </w:rPr>
      </w:pPr>
    </w:p>
    <w:p w14:paraId="4C5AE6BF">
      <w:pPr>
        <w:rPr>
          <w:rFonts w:hint="eastAsia" w:ascii="Times New Roman" w:hAnsi="Times New Roman" w:eastAsia="仿宋" w:cs="Times New Roman"/>
          <w:color w:val="auto"/>
          <w:sz w:val="30"/>
          <w:szCs w:val="30"/>
          <w:lang w:val="en-US" w:eastAsia="zh-CN"/>
        </w:rPr>
      </w:pPr>
    </w:p>
    <w:p w14:paraId="4E013E16">
      <w:pPr>
        <w:rPr>
          <w:rFonts w:hint="eastAsia" w:ascii="Times New Roman" w:hAnsi="Times New Roman" w:eastAsia="仿宋" w:cs="Times New Roman"/>
          <w:color w:val="auto"/>
          <w:sz w:val="30"/>
          <w:szCs w:val="30"/>
          <w:lang w:val="en-US" w:eastAsia="zh-CN"/>
        </w:rPr>
      </w:pPr>
    </w:p>
    <w:p w14:paraId="2F270240">
      <w:pPr>
        <w:rPr>
          <w:rFonts w:hint="eastAsia" w:ascii="Times New Roman" w:hAnsi="Times New Roman" w:eastAsia="仿宋" w:cs="Times New Roman"/>
          <w:color w:val="auto"/>
          <w:sz w:val="30"/>
          <w:szCs w:val="30"/>
          <w:lang w:val="en-US" w:eastAsia="zh-CN"/>
        </w:rPr>
      </w:pPr>
    </w:p>
    <w:p w14:paraId="6ECA5E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F0BD958-A437-4441-A287-0F41454C63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83C00A33-253D-4527-BEBA-76668717033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C143342-A980-476C-BFBE-87F807BDE150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03F77"/>
    <w:rsid w:val="07E643FF"/>
    <w:rsid w:val="088A119C"/>
    <w:rsid w:val="093D48FA"/>
    <w:rsid w:val="0C9F20D6"/>
    <w:rsid w:val="0FC401FA"/>
    <w:rsid w:val="15415E49"/>
    <w:rsid w:val="181F06C4"/>
    <w:rsid w:val="18365A0D"/>
    <w:rsid w:val="18B03A11"/>
    <w:rsid w:val="190855FC"/>
    <w:rsid w:val="19BE5CBA"/>
    <w:rsid w:val="1AAB5E1C"/>
    <w:rsid w:val="1B6B1180"/>
    <w:rsid w:val="1BEC5803"/>
    <w:rsid w:val="21BE719F"/>
    <w:rsid w:val="22FF3DB9"/>
    <w:rsid w:val="235356C5"/>
    <w:rsid w:val="24E91459"/>
    <w:rsid w:val="24FA6740"/>
    <w:rsid w:val="277420AE"/>
    <w:rsid w:val="2BCC3936"/>
    <w:rsid w:val="2F2D14C0"/>
    <w:rsid w:val="3078546E"/>
    <w:rsid w:val="34A71D15"/>
    <w:rsid w:val="3D245307"/>
    <w:rsid w:val="46387B03"/>
    <w:rsid w:val="470628CB"/>
    <w:rsid w:val="4CBB5F06"/>
    <w:rsid w:val="54934F97"/>
    <w:rsid w:val="56CB4F97"/>
    <w:rsid w:val="596C2A61"/>
    <w:rsid w:val="5BE56AFB"/>
    <w:rsid w:val="5DC57B01"/>
    <w:rsid w:val="5DE0757A"/>
    <w:rsid w:val="600A2FD4"/>
    <w:rsid w:val="6054424F"/>
    <w:rsid w:val="62F2750C"/>
    <w:rsid w:val="650224CC"/>
    <w:rsid w:val="65C21C5B"/>
    <w:rsid w:val="65FF1B98"/>
    <w:rsid w:val="6A1B79FA"/>
    <w:rsid w:val="7392092F"/>
    <w:rsid w:val="765137FD"/>
    <w:rsid w:val="7863107C"/>
    <w:rsid w:val="7C923CDE"/>
    <w:rsid w:val="7ECB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line="560" w:lineRule="exact"/>
      <w:jc w:val="left"/>
      <w:outlineLvl w:val="1"/>
    </w:pPr>
    <w:rPr>
      <w:rFonts w:ascii="Times New Roman" w:hAnsi="Times New Roman" w:eastAsia="楷体" w:cs="Times New Roman"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spacing w:line="360" w:lineRule="auto"/>
      <w:jc w:val="left"/>
      <w:outlineLvl w:val="2"/>
    </w:pPr>
    <w:rPr>
      <w:rFonts w:ascii="仿宋_GB2312" w:hAnsi="仿宋_GB2312" w:eastAsia="仿宋_GB2312" w:cs="仿宋_GB2312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1231</Words>
  <Characters>1257</Characters>
  <Lines>0</Lines>
  <Paragraphs>0</Paragraphs>
  <TotalTime>5</TotalTime>
  <ScaleCrop>false</ScaleCrop>
  <LinksUpToDate>false</LinksUpToDate>
  <CharactersWithSpaces>1257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2025-08-13T08:00:00Z</dcterms:created>
  <dc:creator>lenvov</dc:creator>
  <cp:lastModifiedBy>user</cp:lastModifiedBy>
  <dcterms:modified xsi:type="dcterms:W3CDTF">2025-08-14T15:19:45Z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eyJoZGlkIjoiMjRlZmI5NzM2YWI4NjYyYmUyYWYyNzhiNTU5ZTNlZDUiLCJ1c2VySWQiOiI0OTE4ODA3MjkifQ==</vt:lpwstr>
  </property>
  <property fmtid="{D5CDD505-2E9C-101B-9397-08002B2CF9AE}" pid="4" name="ICV">
    <vt:lpwstr>D0D5CA4D05A44E10991A54D5DAAACB8D_12</vt:lpwstr>
  </property>
</Properties>
</file>